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1C254" w14:textId="77777777" w:rsidR="00AD62C2" w:rsidRDefault="00AD62C2" w:rsidP="00AD62C2">
      <w:pPr>
        <w:pStyle w:val="NormalWeb"/>
        <w:spacing w:before="0" w:beforeAutospacing="0" w:after="0" w:afterAutospacing="0" w:line="480" w:lineRule="auto"/>
        <w:ind w:right="90"/>
        <w:rPr>
          <w:rFonts w:ascii="Arial" w:hAnsi="Arial" w:cs="Arial"/>
          <w:b/>
        </w:rPr>
      </w:pPr>
      <w:r>
        <w:rPr>
          <w:noProof/>
        </w:rPr>
        <w:drawing>
          <wp:inline distT="0" distB="0" distL="0" distR="0" wp14:anchorId="6051AB78" wp14:editId="382BFFAC">
            <wp:extent cx="5943600" cy="1583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583055"/>
                    </a:xfrm>
                    <a:prstGeom prst="rect">
                      <a:avLst/>
                    </a:prstGeom>
                  </pic:spPr>
                </pic:pic>
              </a:graphicData>
            </a:graphic>
          </wp:inline>
        </w:drawing>
      </w:r>
    </w:p>
    <w:p w14:paraId="7898F7B0" w14:textId="77777777" w:rsidR="00AD62C2" w:rsidRDefault="00AD62C2" w:rsidP="00AD62C2">
      <w:pPr>
        <w:pStyle w:val="NormalWeb"/>
        <w:spacing w:before="0" w:beforeAutospacing="0" w:after="0" w:afterAutospacing="0" w:line="480" w:lineRule="auto"/>
        <w:ind w:right="90"/>
        <w:rPr>
          <w:rFonts w:ascii="Arial" w:hAnsi="Arial" w:cs="Arial"/>
          <w:b/>
        </w:rPr>
      </w:pPr>
    </w:p>
    <w:p w14:paraId="1F631FB6" w14:textId="77777777" w:rsidR="00AD62C2" w:rsidRPr="009A218A" w:rsidRDefault="00AD62C2" w:rsidP="00AD62C2">
      <w:pPr>
        <w:pStyle w:val="NormalWeb"/>
        <w:spacing w:before="0" w:beforeAutospacing="0" w:after="0" w:afterAutospacing="0"/>
        <w:ind w:right="90"/>
        <w:rPr>
          <w:rFonts w:ascii="Arial" w:hAnsi="Arial" w:cs="Arial"/>
          <w:b/>
          <w:sz w:val="36"/>
          <w:szCs w:val="36"/>
        </w:rPr>
      </w:pPr>
      <w:r w:rsidRPr="009A218A">
        <w:rPr>
          <w:rFonts w:ascii="Arial" w:hAnsi="Arial" w:cs="Arial"/>
          <w:b/>
          <w:sz w:val="36"/>
          <w:szCs w:val="36"/>
        </w:rPr>
        <w:t>Tuesday, March 15</w:t>
      </w:r>
    </w:p>
    <w:p w14:paraId="38C45DDD" w14:textId="07E08986" w:rsidR="00AD62C2" w:rsidRDefault="00AD62C2" w:rsidP="00AD62C2">
      <w:pPr>
        <w:pStyle w:val="NormalWeb"/>
        <w:spacing w:before="0" w:beforeAutospacing="0" w:after="0" w:afterAutospacing="0"/>
        <w:ind w:right="90"/>
        <w:rPr>
          <w:rFonts w:ascii="Arial" w:hAnsi="Arial" w:cs="Arial"/>
          <w:b/>
          <w:sz w:val="36"/>
          <w:szCs w:val="36"/>
        </w:rPr>
      </w:pPr>
      <w:r>
        <w:rPr>
          <w:rFonts w:ascii="Arial" w:hAnsi="Arial" w:cs="Arial"/>
          <w:b/>
          <w:sz w:val="36"/>
          <w:szCs w:val="36"/>
        </w:rPr>
        <w:t>3</w:t>
      </w:r>
      <w:r w:rsidRPr="009A218A">
        <w:rPr>
          <w:rFonts w:ascii="Arial" w:hAnsi="Arial" w:cs="Arial"/>
          <w:b/>
          <w:sz w:val="36"/>
          <w:szCs w:val="36"/>
        </w:rPr>
        <w:t>:30</w:t>
      </w:r>
      <w:r>
        <w:rPr>
          <w:rFonts w:ascii="Arial" w:hAnsi="Arial" w:cs="Arial"/>
          <w:b/>
          <w:sz w:val="36"/>
          <w:szCs w:val="36"/>
        </w:rPr>
        <w:t>P</w:t>
      </w:r>
      <w:r w:rsidRPr="009A218A">
        <w:rPr>
          <w:rFonts w:ascii="Arial" w:hAnsi="Arial" w:cs="Arial"/>
          <w:b/>
          <w:sz w:val="36"/>
          <w:szCs w:val="36"/>
        </w:rPr>
        <w:t>M</w:t>
      </w:r>
    </w:p>
    <w:p w14:paraId="4C089B64" w14:textId="77777777" w:rsidR="00AD62C2" w:rsidRPr="009A218A" w:rsidRDefault="00AD62C2" w:rsidP="00AD62C2">
      <w:pPr>
        <w:pStyle w:val="NormalWeb"/>
        <w:spacing w:before="0" w:beforeAutospacing="0" w:after="0" w:afterAutospacing="0"/>
        <w:ind w:right="90"/>
        <w:rPr>
          <w:rFonts w:ascii="Arial" w:hAnsi="Arial" w:cs="Arial"/>
          <w:b/>
          <w:sz w:val="36"/>
          <w:szCs w:val="36"/>
        </w:rPr>
      </w:pPr>
      <w:bookmarkStart w:id="0" w:name="_GoBack"/>
      <w:bookmarkEnd w:id="0"/>
    </w:p>
    <w:p w14:paraId="5B134EA0" w14:textId="77777777" w:rsidR="00AD62C2" w:rsidRDefault="00AD62C2" w:rsidP="00427501">
      <w:pPr>
        <w:jc w:val="center"/>
        <w:rPr>
          <w:rFonts w:ascii="Times New Roman" w:hAnsi="Times New Roman" w:cs="Times New Roman"/>
          <w:color w:val="000000" w:themeColor="text1"/>
        </w:rPr>
      </w:pPr>
    </w:p>
    <w:p w14:paraId="6588848B" w14:textId="77777777" w:rsidR="00AD62C2" w:rsidRDefault="00AD62C2" w:rsidP="00427501">
      <w:pPr>
        <w:jc w:val="center"/>
        <w:rPr>
          <w:rFonts w:ascii="Times New Roman" w:hAnsi="Times New Roman" w:cs="Times New Roman"/>
          <w:color w:val="000000" w:themeColor="text1"/>
        </w:rPr>
      </w:pPr>
    </w:p>
    <w:p w14:paraId="5BA3D9EE" w14:textId="6C82D6B4" w:rsidR="00427501" w:rsidRDefault="00427501" w:rsidP="00427501">
      <w:pPr>
        <w:jc w:val="center"/>
        <w:rPr>
          <w:rFonts w:ascii="Arial" w:hAnsi="Arial" w:cs="Arial"/>
          <w:b/>
          <w:color w:val="000000" w:themeColor="text1"/>
        </w:rPr>
      </w:pPr>
      <w:r w:rsidRPr="00AD62C2">
        <w:rPr>
          <w:rFonts w:ascii="Arial" w:hAnsi="Arial" w:cs="Arial"/>
          <w:b/>
          <w:color w:val="000000" w:themeColor="text1"/>
        </w:rPr>
        <w:t>Easing the Transition: Independent Living Skills Development Curriculum for Former Foster Youth</w:t>
      </w:r>
    </w:p>
    <w:p w14:paraId="7273BB7D" w14:textId="5CEC8D3D" w:rsidR="00AD62C2" w:rsidRDefault="00AD62C2" w:rsidP="00427501">
      <w:pPr>
        <w:jc w:val="center"/>
        <w:rPr>
          <w:rFonts w:ascii="Arial" w:hAnsi="Arial" w:cs="Arial"/>
          <w:b/>
          <w:color w:val="000000" w:themeColor="text1"/>
        </w:rPr>
      </w:pPr>
    </w:p>
    <w:p w14:paraId="79F34D79" w14:textId="4FE63641" w:rsidR="00AD62C2" w:rsidRPr="00AD62C2" w:rsidRDefault="00AD62C2" w:rsidP="00427501">
      <w:pPr>
        <w:jc w:val="center"/>
        <w:rPr>
          <w:rFonts w:ascii="Arial" w:hAnsi="Arial" w:cs="Arial"/>
          <w:b/>
          <w:color w:val="000000" w:themeColor="text1"/>
        </w:rPr>
      </w:pPr>
      <w:r>
        <w:rPr>
          <w:rFonts w:ascii="Arial" w:hAnsi="Arial" w:cs="Arial"/>
          <w:b/>
          <w:color w:val="000000" w:themeColor="text1"/>
        </w:rPr>
        <w:t>Presenters</w:t>
      </w:r>
    </w:p>
    <w:p w14:paraId="61B46890" w14:textId="077D8854" w:rsidR="00427501" w:rsidRPr="00AD62C2" w:rsidRDefault="00427501" w:rsidP="00427501">
      <w:pPr>
        <w:jc w:val="center"/>
        <w:rPr>
          <w:rFonts w:ascii="Arial" w:hAnsi="Arial" w:cs="Arial"/>
          <w:color w:val="000000" w:themeColor="text1"/>
        </w:rPr>
      </w:pPr>
      <w:r w:rsidRPr="00AD62C2">
        <w:rPr>
          <w:rFonts w:ascii="Arial" w:hAnsi="Arial" w:cs="Arial"/>
          <w:color w:val="000000" w:themeColor="text1"/>
        </w:rPr>
        <w:t xml:space="preserve">Kaela </w:t>
      </w:r>
      <w:proofErr w:type="spellStart"/>
      <w:r w:rsidRPr="00AD62C2">
        <w:rPr>
          <w:rFonts w:ascii="Arial" w:hAnsi="Arial" w:cs="Arial"/>
          <w:color w:val="000000" w:themeColor="text1"/>
        </w:rPr>
        <w:t>Desouza</w:t>
      </w:r>
      <w:proofErr w:type="spellEnd"/>
      <w:r w:rsidRPr="00AD62C2">
        <w:rPr>
          <w:rFonts w:ascii="Arial" w:hAnsi="Arial" w:cs="Arial"/>
          <w:color w:val="000000" w:themeColor="text1"/>
        </w:rPr>
        <w:t>, BS, University of South Florida</w:t>
      </w:r>
      <w:r w:rsidR="00AD62C2">
        <w:rPr>
          <w:rFonts w:ascii="Arial" w:hAnsi="Arial" w:cs="Arial"/>
          <w:color w:val="000000" w:themeColor="text1"/>
        </w:rPr>
        <w:t xml:space="preserve">; </w:t>
      </w:r>
      <w:r w:rsidRPr="00AD62C2">
        <w:rPr>
          <w:rFonts w:ascii="Arial" w:hAnsi="Arial" w:cs="Arial"/>
          <w:color w:val="000000" w:themeColor="text1"/>
        </w:rPr>
        <w:t>Doreen Jean-Ja</w:t>
      </w:r>
      <w:r w:rsidR="00417237" w:rsidRPr="00AD62C2">
        <w:rPr>
          <w:rFonts w:ascii="Arial" w:hAnsi="Arial" w:cs="Arial"/>
          <w:color w:val="000000" w:themeColor="text1"/>
        </w:rPr>
        <w:t>c</w:t>
      </w:r>
      <w:r w:rsidRPr="00AD62C2">
        <w:rPr>
          <w:rFonts w:ascii="Arial" w:hAnsi="Arial" w:cs="Arial"/>
          <w:color w:val="000000" w:themeColor="text1"/>
        </w:rPr>
        <w:t>ques, BS, University of South Florida</w:t>
      </w:r>
      <w:r w:rsidR="00AD62C2">
        <w:rPr>
          <w:rFonts w:ascii="Arial" w:hAnsi="Arial" w:cs="Arial"/>
          <w:color w:val="000000" w:themeColor="text1"/>
        </w:rPr>
        <w:t xml:space="preserve">; </w:t>
      </w:r>
      <w:r w:rsidRPr="00AD62C2">
        <w:rPr>
          <w:rFonts w:ascii="Arial" w:hAnsi="Arial" w:cs="Arial"/>
          <w:color w:val="000000" w:themeColor="text1"/>
        </w:rPr>
        <w:t xml:space="preserve">Amelia </w:t>
      </w:r>
      <w:proofErr w:type="spellStart"/>
      <w:r w:rsidRPr="00AD62C2">
        <w:rPr>
          <w:rFonts w:ascii="Arial" w:hAnsi="Arial" w:cs="Arial"/>
          <w:color w:val="000000" w:themeColor="text1"/>
        </w:rPr>
        <w:t>Sterenberg</w:t>
      </w:r>
      <w:proofErr w:type="spellEnd"/>
      <w:r w:rsidRPr="00AD62C2">
        <w:rPr>
          <w:rFonts w:ascii="Arial" w:hAnsi="Arial" w:cs="Arial"/>
          <w:color w:val="000000" w:themeColor="text1"/>
        </w:rPr>
        <w:t>, OTS, Northern Arizona University</w:t>
      </w:r>
    </w:p>
    <w:p w14:paraId="611C5386" w14:textId="4DBC4A82" w:rsidR="00427501" w:rsidRDefault="00427501" w:rsidP="00427501">
      <w:pPr>
        <w:rPr>
          <w:rFonts w:ascii="Arial" w:hAnsi="Arial" w:cs="Arial"/>
          <w:color w:val="000000" w:themeColor="text1"/>
        </w:rPr>
      </w:pPr>
    </w:p>
    <w:p w14:paraId="4B833079" w14:textId="7FDAB526" w:rsidR="00AD62C2" w:rsidRPr="00AD62C2" w:rsidRDefault="00AD62C2" w:rsidP="00AD62C2">
      <w:pPr>
        <w:jc w:val="center"/>
        <w:rPr>
          <w:rFonts w:ascii="Arial" w:hAnsi="Arial" w:cs="Arial"/>
          <w:b/>
          <w:color w:val="000000" w:themeColor="text1"/>
        </w:rPr>
      </w:pPr>
      <w:r w:rsidRPr="00AD62C2">
        <w:rPr>
          <w:rFonts w:ascii="Arial" w:hAnsi="Arial" w:cs="Arial"/>
          <w:b/>
          <w:color w:val="000000" w:themeColor="text1"/>
        </w:rPr>
        <w:t>Abstract</w:t>
      </w:r>
    </w:p>
    <w:p w14:paraId="16BD209C" w14:textId="77777777" w:rsidR="00427501" w:rsidRPr="00AD62C2" w:rsidRDefault="00427501" w:rsidP="00427501">
      <w:pPr>
        <w:rPr>
          <w:rFonts w:ascii="Arial" w:eastAsia="Times New Roman" w:hAnsi="Arial" w:cs="Arial"/>
          <w:color w:val="000000" w:themeColor="text1"/>
        </w:rPr>
      </w:pPr>
      <w:r w:rsidRPr="00AD62C2">
        <w:rPr>
          <w:rFonts w:ascii="Arial" w:eastAsia="Times New Roman" w:hAnsi="Arial" w:cs="Arial"/>
          <w:color w:val="000000" w:themeColor="text1"/>
        </w:rPr>
        <w:t>Research indicates young adults who have experienced foster care lack imperative independent living skills. Independent living skills include several competencies such as financial management, educational pursuit, employment preparedness, and drug safety. This study evaluates the effectiveness of content expert lead life skills sessions, paired with Behavioral Skills Teaching theory in teaching life skills curriculum. Without these foundational skills, these young adults struggle to obtain positive health and wellness outcomes.</w:t>
      </w:r>
    </w:p>
    <w:p w14:paraId="7E50F5E9" w14:textId="77777777" w:rsidR="003D31ED" w:rsidRPr="00AD62C2" w:rsidRDefault="00AD62C2">
      <w:pPr>
        <w:rPr>
          <w:rFonts w:ascii="Arial" w:hAnsi="Arial" w:cs="Arial"/>
        </w:rPr>
      </w:pPr>
    </w:p>
    <w:sectPr w:rsidR="003D31ED" w:rsidRPr="00AD62C2" w:rsidSect="00857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01"/>
    <w:rsid w:val="00417237"/>
    <w:rsid w:val="00427501"/>
    <w:rsid w:val="00547AEC"/>
    <w:rsid w:val="00857C2F"/>
    <w:rsid w:val="00AD62C2"/>
    <w:rsid w:val="00D5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3721"/>
  <w15:chartTrackingRefBased/>
  <w15:docId w15:val="{D0971362-FF8B-1345-B40B-59F1EC8B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62C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Grace Sterenberg</dc:creator>
  <cp:keywords/>
  <dc:description/>
  <cp:lastModifiedBy>Calcano, Ercilia</cp:lastModifiedBy>
  <cp:revision>4</cp:revision>
  <dcterms:created xsi:type="dcterms:W3CDTF">2022-02-23T17:45:00Z</dcterms:created>
  <dcterms:modified xsi:type="dcterms:W3CDTF">2022-02-25T20:26:00Z</dcterms:modified>
</cp:coreProperties>
</file>